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</w:p>
    <w:p w14:paraId="02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                            </w:t>
      </w:r>
      <w:r>
        <w:rPr>
          <w:rFonts w:ascii="Times New Roman" w:hAnsi="Times New Roman"/>
          <w:b w:val="1"/>
          <w:sz w:val="28"/>
        </w:rPr>
        <w:t xml:space="preserve">       </w:t>
      </w:r>
      <w:r>
        <w:drawing>
          <wp:inline>
            <wp:extent cx="8436873" cy="608167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8436873" cy="608167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</w:p>
    <w:p w14:paraId="04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</w:p>
    <w:p w14:paraId="05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</w:p>
    <w:p w14:paraId="06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</w:p>
    <w:p w14:paraId="07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2"/>
        <w:tblInd w:type="dxa" w:w="-113"/>
        <w:tblLayout w:type="fixed"/>
      </w:tblPr>
      <w:tblGrid>
        <w:gridCol w:w="787"/>
        <w:gridCol w:w="3667"/>
        <w:gridCol w:w="4728"/>
        <w:gridCol w:w="1978"/>
        <w:gridCol w:w="1546"/>
        <w:gridCol w:w="1977"/>
      </w:tblGrid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1.4.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Организация набора детей в кружки внеурочной деятельности и дополнительного образо</w:t>
            </w:r>
            <w:r>
              <w:rPr>
                <w:rFonts w:ascii="Times New Roman" w:hAnsi="Times New Roman"/>
                <w:sz w:val="23"/>
              </w:rPr>
              <w:t>вания Центра образования «Точка Роста»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Презентация кружков и  объединений, список обучающихся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Педагоги дополнительного образования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Сентябрь 2024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заместитель директора по У</w:t>
            </w:r>
            <w:bookmarkStart w:id="1" w:name="_GoBack"/>
            <w:bookmarkEnd w:id="1"/>
            <w:r>
              <w:rPr>
                <w:rFonts w:ascii="Times New Roman" w:hAnsi="Times New Roman"/>
                <w:sz w:val="23"/>
              </w:rPr>
              <w:t>ВР, родители (законные представители)</w:t>
            </w: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1.5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Реализация курсов внеурочной деятельности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К</w:t>
            </w:r>
            <w:r>
              <w:rPr>
                <w:rFonts w:ascii="Times New Roman" w:hAnsi="Times New Roman"/>
                <w:sz w:val="23"/>
              </w:rPr>
              <w:t>урсы внеурочной деятельности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Педагоги дополнительного образования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в течение учебного года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Педагоги центра</w:t>
            </w: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1.6.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Проектная деятельность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Разработка и реализация индивидуальных и групповых проектов, участие в научно - практических конференциях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Педагоги-предметники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в течение учебного года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Педагоги центра</w:t>
            </w: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1.7.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pStyle w:val="Style_1"/>
              <w:widowControl w:val="0"/>
              <w:ind/>
            </w:pPr>
            <w:r>
              <w:rPr>
                <w:rFonts w:ascii="Times New Roman" w:hAnsi="Times New Roman"/>
                <w:sz w:val="23"/>
              </w:rPr>
              <w:t>Повышение квалификации педагогов Центра образования «Точка Роста»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Повышение квалификации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Учителя-предметники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pStyle w:val="Style_1"/>
              <w:widowControl w:val="0"/>
              <w:ind/>
            </w:pPr>
            <w:r>
              <w:rPr>
                <w:rFonts w:ascii="Times New Roman" w:hAnsi="Times New Roman"/>
                <w:sz w:val="23"/>
              </w:rPr>
              <w:t>Август-сентябрь 2024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pStyle w:val="Style_1"/>
              <w:widowControl w:val="0"/>
              <w:ind/>
            </w:pPr>
            <w:r>
              <w:rPr>
                <w:rFonts w:ascii="Times New Roman" w:hAnsi="Times New Roman"/>
                <w:sz w:val="23"/>
              </w:rPr>
              <w:t>Заместитель директора по УВР</w:t>
            </w: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1.8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Круглый стол «Формула </w:t>
            </w:r>
            <w:r>
              <w:rPr>
                <w:rFonts w:ascii="Times New Roman" w:hAnsi="Times New Roman"/>
                <w:sz w:val="23"/>
              </w:rPr>
              <w:t>успеха».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pStyle w:val="Style_1"/>
              <w:widowControl w:val="0"/>
              <w:ind/>
            </w:pPr>
            <w:r>
              <w:rPr>
                <w:rFonts w:ascii="Times New Roman" w:hAnsi="Times New Roman"/>
                <w:sz w:val="23"/>
              </w:rPr>
              <w:t>Практика использования оборудования центра Семинар-практикум для учителей  школы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педагоги центра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Май 2025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Токтарова Т.И,</w:t>
            </w: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1.9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Отчёт - презентация о работе центра Подведение итогов работы центра за год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Подведение итогов работы</w:t>
            </w:r>
            <w:r>
              <w:rPr>
                <w:rFonts w:ascii="Times New Roman" w:hAnsi="Times New Roman"/>
                <w:sz w:val="23"/>
              </w:rPr>
              <w:t xml:space="preserve"> за год, определение целей и задач на следующий год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Учителя-предметники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Июнь 2025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Нуруллина Ф.С.</w:t>
            </w:r>
          </w:p>
        </w:tc>
      </w:tr>
      <w:tr>
        <w:tc>
          <w:tcPr>
            <w:tcW w:type="dxa" w:w="14683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1"/>
              <w:widowControl w:val="0"/>
              <w:ind/>
              <w:jc w:val="center"/>
            </w:pPr>
            <w:r>
              <w:rPr>
                <w:rFonts w:ascii="Times New Roman" w:hAnsi="Times New Roman"/>
                <w:b w:val="1"/>
                <w:sz w:val="24"/>
              </w:rPr>
              <w:t>II</w:t>
            </w:r>
            <w:r>
              <w:rPr>
                <w:rFonts w:ascii="Times New Roman" w:hAnsi="Times New Roman"/>
                <w:b w:val="1"/>
                <w:sz w:val="24"/>
              </w:rPr>
              <w:t>. Учебно-воспитательные мероприятия</w:t>
            </w:r>
          </w:p>
          <w:p w14:paraId="2D000000">
            <w:pPr>
              <w:pStyle w:val="Style_1"/>
              <w:widowControl w:val="0"/>
              <w:ind/>
              <w:rPr>
                <w:rFonts w:ascii="Times New Roman" w:hAnsi="Times New Roman"/>
                <w:b w:val="1"/>
                <w:sz w:val="23"/>
              </w:rPr>
            </w:pP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2.1.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Организация и проведение школьного этапа Всероссийской олимпиады школьников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Организация работы с </w:t>
            </w:r>
            <w:r>
              <w:rPr>
                <w:rFonts w:ascii="Times New Roman" w:hAnsi="Times New Roman"/>
                <w:sz w:val="23"/>
              </w:rPr>
              <w:t>мотивированными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обучающимися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обучающиеся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сентябрь - октябрь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Педагоги</w:t>
            </w: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2.2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Участие в конкурсах и конференциях различного уровня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Организация сотрудничества совместной проектной и исследовательской деятельности школьников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Учителя-предметники, обучающиеся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В течение учебного г</w:t>
            </w:r>
            <w:r>
              <w:rPr>
                <w:rFonts w:ascii="Times New Roman" w:hAnsi="Times New Roman"/>
                <w:sz w:val="23"/>
              </w:rPr>
              <w:t>ода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Учителя центра</w:t>
            </w: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2.3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Мастер-классы педагогов центра «Точка роста» по вопросам преподавания физики, химии, биологии с использованием  современного оборудования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</w:p>
          <w:p w14:paraId="3D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Посещение уроков с последующим анализом и самоанализом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Учителя-предметники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В течение учебного</w:t>
            </w:r>
            <w:r>
              <w:rPr>
                <w:rFonts w:ascii="Times New Roman" w:hAnsi="Times New Roman"/>
                <w:sz w:val="23"/>
              </w:rPr>
              <w:t xml:space="preserve"> года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Учителя центра</w:t>
            </w: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2.4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Неделя естественно-математического цикла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Проведение мероприятий в рамках недели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Учителя ЕМЦ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Апрель 2025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Учителя центра</w:t>
            </w: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2.5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Реализация сетевых проектов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Участие в проекте «Урок цифры»</w:t>
            </w:r>
          </w:p>
          <w:p w14:paraId="4A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Участие в проекте «</w:t>
            </w:r>
            <w:r>
              <w:rPr>
                <w:rFonts w:ascii="Times New Roman" w:hAnsi="Times New Roman"/>
                <w:sz w:val="23"/>
              </w:rPr>
              <w:t>ПроеКТОриЯ</w:t>
            </w:r>
            <w:r>
              <w:rPr>
                <w:rFonts w:ascii="Times New Roman" w:hAnsi="Times New Roman"/>
                <w:sz w:val="23"/>
              </w:rPr>
              <w:t>»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2-9 классы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В </w:t>
            </w:r>
            <w:r>
              <w:rPr>
                <w:rFonts w:ascii="Times New Roman" w:hAnsi="Times New Roman"/>
                <w:sz w:val="23"/>
              </w:rPr>
              <w:t>течение года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Педагоги Центра</w:t>
            </w:r>
          </w:p>
        </w:tc>
      </w:tr>
      <w:tr>
        <w:tc>
          <w:tcPr>
            <w:tcW w:type="dxa" w:w="14683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pStyle w:val="Style_1"/>
              <w:widowControl w:val="0"/>
              <w:ind/>
              <w:jc w:val="center"/>
            </w:pPr>
            <w:r>
              <w:rPr>
                <w:rFonts w:ascii="Times New Roman" w:hAnsi="Times New Roman"/>
                <w:b w:val="1"/>
                <w:sz w:val="24"/>
              </w:rPr>
              <w:t>III</w:t>
            </w:r>
            <w:r>
              <w:rPr>
                <w:rFonts w:ascii="Times New Roman" w:hAnsi="Times New Roman"/>
                <w:b w:val="1"/>
                <w:sz w:val="24"/>
              </w:rPr>
              <w:t>. Воспитательная работа</w:t>
            </w:r>
          </w:p>
          <w:p w14:paraId="4F000000">
            <w:pPr>
              <w:pStyle w:val="Style_1"/>
              <w:widowControl w:val="0"/>
              <w:ind/>
              <w:rPr>
                <w:rFonts w:ascii="Times New Roman" w:hAnsi="Times New Roman"/>
                <w:b w:val="1"/>
                <w:sz w:val="23"/>
              </w:rPr>
            </w:pP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3.1.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Торжественное открытие центра «Точка Роста»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Праздничная линейка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обучающиеся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pStyle w:val="Style_1"/>
              <w:widowControl w:val="0"/>
              <w:ind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6.09.2</w:t>
            </w:r>
            <w:r>
              <w:rPr>
                <w:color w:val="000000"/>
              </w:rPr>
              <w:t>4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Директор школы, руководитель центра</w:t>
            </w: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3.2.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открытых дверей «Мир чудесных наук»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центром </w:t>
            </w:r>
            <w:r>
              <w:rPr>
                <w:rFonts w:ascii="Times New Roman" w:hAnsi="Times New Roman"/>
                <w:color w:val="000000"/>
                <w:sz w:val="24"/>
              </w:rPr>
              <w:t>«Точка роста»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обучающиеся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 центра</w:t>
            </w: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Знатоки природы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r>
              <w:rPr>
                <w:rFonts w:ascii="Times New Roman" w:hAnsi="Times New Roman"/>
                <w:color w:val="000000"/>
                <w:sz w:val="24"/>
              </w:rPr>
              <w:t>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викторина, направленная на расширение кругозора детей о природе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обучающиеся</w:t>
            </w:r>
          </w:p>
          <w:p w14:paraId="60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 класс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центра</w:t>
            </w:r>
          </w:p>
        </w:tc>
      </w:tr>
      <w:tr>
        <w:tc>
          <w:tcPr>
            <w:tcW w:type="dxa" w:w="78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type="dxa" w:w="366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Мастер- класс «Краски осени»</w:t>
            </w:r>
          </w:p>
        </w:tc>
        <w:tc>
          <w:tcPr>
            <w:tcW w:type="dxa" w:w="472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осенних композиций 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природных материалов</w:t>
            </w:r>
          </w:p>
        </w:tc>
        <w:tc>
          <w:tcPr>
            <w:tcW w:type="dxa" w:w="197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Обучающиеся 2-3 классы</w:t>
            </w:r>
          </w:p>
        </w:tc>
        <w:tc>
          <w:tcPr>
            <w:tcW w:type="dxa" w:w="1546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type="dxa" w:w="197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 центра</w:t>
            </w:r>
          </w:p>
        </w:tc>
      </w:tr>
      <w:tr>
        <w:tc>
          <w:tcPr>
            <w:tcW w:type="dxa" w:w="78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type="dxa" w:w="366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Знатоки математики</w:t>
            </w:r>
          </w:p>
        </w:tc>
        <w:tc>
          <w:tcPr>
            <w:tcW w:type="dxa" w:w="472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Интеллектуальная игра, направленная на расширение кругозора детей о математике</w:t>
            </w:r>
          </w:p>
        </w:tc>
        <w:tc>
          <w:tcPr>
            <w:tcW w:type="dxa" w:w="197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класс</w:t>
            </w:r>
          </w:p>
        </w:tc>
        <w:tc>
          <w:tcPr>
            <w:tcW w:type="dxa" w:w="1546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октябрь</w:t>
            </w:r>
          </w:p>
        </w:tc>
        <w:tc>
          <w:tcPr>
            <w:tcW w:type="dxa" w:w="197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 математики</w:t>
            </w:r>
          </w:p>
        </w:tc>
      </w:tr>
      <w:tr>
        <w:tc>
          <w:tcPr>
            <w:tcW w:type="dxa" w:w="78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type="dxa" w:w="366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Лаборатория забавных экспериментов. </w:t>
            </w:r>
          </w:p>
        </w:tc>
        <w:tc>
          <w:tcPr>
            <w:tcW w:type="dxa" w:w="472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4"/>
              </w:rPr>
              <w:t>ходе проведение опытов знакомить учащихся с элементами физических явлений,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свойств.</w:t>
            </w:r>
          </w:p>
        </w:tc>
        <w:tc>
          <w:tcPr>
            <w:tcW w:type="dxa" w:w="197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5-6 классы</w:t>
            </w:r>
          </w:p>
        </w:tc>
        <w:tc>
          <w:tcPr>
            <w:tcW w:type="dxa" w:w="1546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октябрь</w:t>
            </w:r>
          </w:p>
        </w:tc>
        <w:tc>
          <w:tcPr>
            <w:tcW w:type="dxa" w:w="197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 физики</w:t>
            </w:r>
          </w:p>
        </w:tc>
      </w:tr>
      <w:tr>
        <w:tc>
          <w:tcPr>
            <w:tcW w:type="dxa" w:w="78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type="dxa" w:w="366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«Топ-10 профессий будущего»</w:t>
            </w:r>
          </w:p>
        </w:tc>
        <w:tc>
          <w:tcPr>
            <w:tcW w:type="dxa" w:w="472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Медиапрезентация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зоне </w:t>
            </w:r>
            <w:r>
              <w:rPr>
                <w:rFonts w:ascii="Times New Roman" w:hAnsi="Times New Roman"/>
                <w:color w:val="000000"/>
                <w:sz w:val="24"/>
              </w:rPr>
              <w:t>коворкинга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всей аудитории учебного заведения, имеет </w:t>
            </w:r>
            <w:r>
              <w:rPr>
                <w:rFonts w:ascii="Times New Roman" w:hAnsi="Times New Roman"/>
                <w:color w:val="000000"/>
                <w:sz w:val="24"/>
              </w:rPr>
              <w:t>профориентационную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направленность</w:t>
            </w:r>
          </w:p>
        </w:tc>
        <w:tc>
          <w:tcPr>
            <w:tcW w:type="dxa" w:w="197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обучающиеся</w:t>
            </w:r>
          </w:p>
        </w:tc>
        <w:tc>
          <w:tcPr>
            <w:tcW w:type="dxa" w:w="1546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ноябрь</w:t>
            </w:r>
          </w:p>
        </w:tc>
        <w:tc>
          <w:tcPr>
            <w:tcW w:type="dxa" w:w="197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Педагоги  </w:t>
            </w:r>
            <w:r>
              <w:rPr>
                <w:rFonts w:ascii="Times New Roman" w:hAnsi="Times New Roman"/>
                <w:color w:val="000000"/>
                <w:sz w:val="24"/>
              </w:rPr>
              <w:t>центра, обучающиеся</w:t>
            </w:r>
          </w:p>
        </w:tc>
      </w:tr>
      <w:tr>
        <w:tc>
          <w:tcPr>
            <w:tcW w:type="dxa" w:w="78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type="dxa" w:w="366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Творческая мастерская «Легенда о нашей области»</w:t>
            </w:r>
          </w:p>
        </w:tc>
        <w:tc>
          <w:tcPr>
            <w:tcW w:type="dxa" w:w="472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Вовлечение учащихся в исследовательскую деятельность </w:t>
            </w:r>
          </w:p>
        </w:tc>
        <w:tc>
          <w:tcPr>
            <w:tcW w:type="dxa" w:w="197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5-6 классы</w:t>
            </w:r>
          </w:p>
        </w:tc>
        <w:tc>
          <w:tcPr>
            <w:tcW w:type="dxa" w:w="1546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ноябрь</w:t>
            </w:r>
          </w:p>
        </w:tc>
        <w:tc>
          <w:tcPr>
            <w:tcW w:type="dxa" w:w="197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Педагог доп. </w:t>
            </w:r>
            <w:r>
              <w:rPr>
                <w:rFonts w:ascii="Times New Roman" w:hAnsi="Times New Roman"/>
                <w:color w:val="000000"/>
                <w:sz w:val="24"/>
              </w:rPr>
              <w:t>обр</w:t>
            </w: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Лаборатория добрых дел «Мастерская умельцев»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Обучающие в течение месяца выполняют проекты, которые способствуют созданию Новогоднего настроения.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обучающиеся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декабрь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дополнительного образования</w:t>
            </w:r>
          </w:p>
        </w:tc>
      </w:tr>
      <w:tr>
        <w:tc>
          <w:tcPr>
            <w:tcW w:type="dxa" w:w="78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type="dxa" w:w="366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Божья коровк</w:t>
            </w:r>
            <w:r>
              <w:rPr>
                <w:rFonts w:ascii="Times New Roman" w:hAnsi="Times New Roman"/>
                <w:color w:val="000000"/>
                <w:sz w:val="24"/>
              </w:rPr>
              <w:t>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где её найти</w:t>
            </w:r>
          </w:p>
        </w:tc>
        <w:tc>
          <w:tcPr>
            <w:tcW w:type="dxa" w:w="472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Мастер- класс. В ходе занятия учащиеся будут делать поделку из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материалов</w:t>
            </w:r>
          </w:p>
        </w:tc>
        <w:tc>
          <w:tcPr>
            <w:tcW w:type="dxa" w:w="197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обучающиеся</w:t>
            </w:r>
          </w:p>
          <w:p w14:paraId="8B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2-3 классы</w:t>
            </w:r>
          </w:p>
        </w:tc>
        <w:tc>
          <w:tcPr>
            <w:tcW w:type="dxa" w:w="1546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декабрь</w:t>
            </w:r>
          </w:p>
        </w:tc>
        <w:tc>
          <w:tcPr>
            <w:tcW w:type="dxa" w:w="197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 центра</w:t>
            </w:r>
          </w:p>
        </w:tc>
      </w:tr>
      <w:tr>
        <w:tc>
          <w:tcPr>
            <w:tcW w:type="dxa" w:w="78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type="dxa" w:w="366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Космическое путешествие</w:t>
            </w:r>
          </w:p>
        </w:tc>
        <w:tc>
          <w:tcPr>
            <w:tcW w:type="dxa" w:w="472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Игр</w:t>
            </w:r>
            <w:r>
              <w:rPr>
                <w:rFonts w:ascii="Times New Roman" w:hAnsi="Times New Roman"/>
                <w:color w:val="333333"/>
                <w:sz w:val="24"/>
              </w:rPr>
              <w:t>а-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викторина для привлечения интереса к изучению предметов физика и астрономия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97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5-6 класс</w:t>
            </w:r>
          </w:p>
        </w:tc>
        <w:tc>
          <w:tcPr>
            <w:tcW w:type="dxa" w:w="1546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декабрь</w:t>
            </w:r>
          </w:p>
        </w:tc>
        <w:tc>
          <w:tcPr>
            <w:tcW w:type="dxa" w:w="197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 центра</w:t>
            </w: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Интеллектуальный марафон «Мир твоих </w:t>
            </w:r>
            <w:r>
              <w:rPr>
                <w:rFonts w:ascii="Times New Roman" w:hAnsi="Times New Roman"/>
                <w:color w:val="000000"/>
                <w:sz w:val="24"/>
              </w:rPr>
              <w:t>возможностей»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Интеллектуальный марафон состоит из вопросов доступных и ориентированных на знание основного материала по разным предметным циклам.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Обучающиеся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январь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дополнительного образования</w:t>
            </w:r>
          </w:p>
        </w:tc>
      </w:tr>
      <w:tr>
        <w:tc>
          <w:tcPr>
            <w:tcW w:type="dxa" w:w="78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type="dxa" w:w="366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pStyle w:val="Style_3"/>
              <w:widowControl w:val="0"/>
              <w:spacing w:before="24"/>
              <w:ind w:firstLine="0" w:left="-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Способы</w:t>
            </w:r>
            <w:r>
              <w:rPr>
                <w:rFonts w:ascii="Times New Roman" w:hAnsi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очистки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воды.</w:t>
            </w:r>
            <w:r>
              <w:rPr>
                <w:rFonts w:ascii="Times New Roman" w:hAnsi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Дистилляция.</w:t>
            </w:r>
          </w:p>
        </w:tc>
        <w:tc>
          <w:tcPr>
            <w:tcW w:type="dxa" w:w="472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Экспериментально проводить очистку воды от растворимых примесей. Работа с цифровой лабораторией</w:t>
            </w:r>
          </w:p>
        </w:tc>
        <w:tc>
          <w:tcPr>
            <w:tcW w:type="dxa" w:w="197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8,9 класс</w:t>
            </w:r>
          </w:p>
        </w:tc>
        <w:tc>
          <w:tcPr>
            <w:tcW w:type="dxa" w:w="1546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январь</w:t>
            </w:r>
          </w:p>
        </w:tc>
        <w:tc>
          <w:tcPr>
            <w:tcW w:type="dxa" w:w="197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 дополнительного образования</w:t>
            </w:r>
          </w:p>
        </w:tc>
      </w:tr>
      <w:tr>
        <w:tc>
          <w:tcPr>
            <w:tcW w:type="dxa" w:w="78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type="dxa" w:w="366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pStyle w:val="Style_3"/>
              <w:widowControl w:val="0"/>
              <w:spacing w:line="276" w:lineRule="auto"/>
              <w:ind w:firstLine="0" w:left="0" w:right="113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191 год со дня рождения Д. Менделеева.</w:t>
            </w:r>
          </w:p>
        </w:tc>
        <w:tc>
          <w:tcPr>
            <w:tcW w:type="dxa" w:w="472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Вклад ученого в развитие химии</w:t>
            </w:r>
          </w:p>
        </w:tc>
        <w:tc>
          <w:tcPr>
            <w:tcW w:type="dxa" w:w="197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Обучающиеся</w:t>
            </w:r>
          </w:p>
        </w:tc>
        <w:tc>
          <w:tcPr>
            <w:tcW w:type="dxa" w:w="1546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февраль</w:t>
            </w:r>
          </w:p>
        </w:tc>
        <w:tc>
          <w:tcPr>
            <w:tcW w:type="dxa" w:w="197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Педагоги  </w:t>
            </w:r>
            <w:r>
              <w:rPr>
                <w:rFonts w:ascii="Times New Roman" w:hAnsi="Times New Roman"/>
                <w:color w:val="000000"/>
                <w:sz w:val="24"/>
              </w:rPr>
              <w:t>центра</w:t>
            </w: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науки в Точке роста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Демонстрация </w:t>
            </w:r>
            <w:r>
              <w:rPr>
                <w:rFonts w:ascii="Times New Roman" w:hAnsi="Times New Roman"/>
                <w:color w:val="000000"/>
                <w:sz w:val="24"/>
              </w:rPr>
              <w:t>обучающимся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навыков работы с современным</w:t>
            </w:r>
          </w:p>
          <w:p w14:paraId="A9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оборудованием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Обучающиеся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февраль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Центра</w:t>
            </w:r>
          </w:p>
        </w:tc>
      </w:tr>
      <w:tr>
        <w:tc>
          <w:tcPr>
            <w:tcW w:type="dxa" w:w="78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3.16</w:t>
            </w:r>
          </w:p>
        </w:tc>
        <w:tc>
          <w:tcPr>
            <w:tcW w:type="dxa" w:w="366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pStyle w:val="Style_3"/>
              <w:widowControl w:val="0"/>
              <w:spacing w:line="276" w:lineRule="auto"/>
              <w:ind w:firstLine="0" w:left="0" w:right="98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Экологичное</w:t>
            </w:r>
            <w:r>
              <w:rPr>
                <w:rFonts w:ascii="Times New Roman" w:hAnsi="Times New Roman"/>
                <w:color w:val="000000"/>
              </w:rPr>
              <w:t xml:space="preserve"> потребление</w:t>
            </w:r>
          </w:p>
        </w:tc>
        <w:tc>
          <w:tcPr>
            <w:tcW w:type="dxa" w:w="472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Единый Всероссийский урок</w:t>
            </w:r>
          </w:p>
        </w:tc>
        <w:tc>
          <w:tcPr>
            <w:tcW w:type="dxa" w:w="197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обучающиеся</w:t>
            </w:r>
          </w:p>
        </w:tc>
        <w:tc>
          <w:tcPr>
            <w:tcW w:type="dxa" w:w="1546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март</w:t>
            </w:r>
          </w:p>
        </w:tc>
        <w:tc>
          <w:tcPr>
            <w:tcW w:type="dxa" w:w="197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Центра</w:t>
            </w:r>
          </w:p>
        </w:tc>
      </w:tr>
      <w:tr>
        <w:tc>
          <w:tcPr>
            <w:tcW w:type="dxa" w:w="78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type="dxa" w:w="366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Школьная </w:t>
            </w:r>
            <w:r>
              <w:rPr>
                <w:rFonts w:ascii="Times New Roman" w:hAnsi="Times New Roman"/>
                <w:color w:val="000000"/>
                <w:sz w:val="24"/>
              </w:rPr>
              <w:t>конференция «Первые шаги в науку»</w:t>
            </w:r>
          </w:p>
        </w:tc>
        <w:tc>
          <w:tcPr>
            <w:tcW w:type="dxa" w:w="472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Конференция</w:t>
            </w:r>
          </w:p>
        </w:tc>
        <w:tc>
          <w:tcPr>
            <w:tcW w:type="dxa" w:w="197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– 9 классы</w:t>
            </w:r>
          </w:p>
        </w:tc>
        <w:tc>
          <w:tcPr>
            <w:tcW w:type="dxa" w:w="1546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март</w:t>
            </w:r>
          </w:p>
        </w:tc>
        <w:tc>
          <w:tcPr>
            <w:tcW w:type="dxa" w:w="197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центра</w:t>
            </w:r>
          </w:p>
        </w:tc>
      </w:tr>
      <w:tr>
        <w:tc>
          <w:tcPr>
            <w:tcW w:type="dxa" w:w="78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3.18</w:t>
            </w:r>
          </w:p>
        </w:tc>
        <w:tc>
          <w:tcPr>
            <w:tcW w:type="dxa" w:w="366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Самый умный математик</w:t>
            </w:r>
          </w:p>
        </w:tc>
        <w:tc>
          <w:tcPr>
            <w:tcW w:type="dxa" w:w="472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Уро</w:t>
            </w:r>
            <w:r>
              <w:rPr>
                <w:rFonts w:ascii="Times New Roman" w:hAnsi="Times New Roman"/>
                <w:color w:val="000000"/>
                <w:sz w:val="24"/>
              </w:rPr>
              <w:t>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соревнование для проявления индивидуальных творческих способностей учащихся</w:t>
            </w:r>
          </w:p>
        </w:tc>
        <w:tc>
          <w:tcPr>
            <w:tcW w:type="dxa" w:w="197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Обучающиеся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7 класс</w:t>
            </w:r>
          </w:p>
        </w:tc>
        <w:tc>
          <w:tcPr>
            <w:tcW w:type="dxa" w:w="1546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апрель</w:t>
            </w:r>
          </w:p>
        </w:tc>
        <w:tc>
          <w:tcPr>
            <w:tcW w:type="dxa" w:w="197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 центра</w:t>
            </w: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3.19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pStyle w:val="Style_1"/>
              <w:widowControl w:val="0"/>
              <w:ind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Гагаринский урок «</w:t>
            </w:r>
            <w:r>
              <w:rPr>
                <w:rFonts w:ascii="Times New Roman" w:hAnsi="Times New Roman"/>
                <w:color w:val="000000"/>
                <w:sz w:val="24"/>
              </w:rPr>
              <w:t>«Я вижу Землю! Это так красиво»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Единый Всероссийский урок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обучающиеся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апрель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центра</w:t>
            </w:r>
          </w:p>
        </w:tc>
      </w:tr>
      <w:tr>
        <w:tc>
          <w:tcPr>
            <w:tcW w:type="dxa" w:w="78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3.20</w:t>
            </w:r>
          </w:p>
        </w:tc>
        <w:tc>
          <w:tcPr>
            <w:tcW w:type="dxa" w:w="366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Земли</w:t>
            </w:r>
          </w:p>
        </w:tc>
        <w:tc>
          <w:tcPr>
            <w:tcW w:type="dxa" w:w="472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pStyle w:val="Style_1"/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Углубление экологических знаний у детей, сформировать экологически-грамотное отношение детей к природе.</w:t>
            </w:r>
          </w:p>
        </w:tc>
        <w:tc>
          <w:tcPr>
            <w:tcW w:type="dxa" w:w="197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 класс</w:t>
            </w:r>
          </w:p>
        </w:tc>
        <w:tc>
          <w:tcPr>
            <w:tcW w:type="dxa" w:w="1546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апрель</w:t>
            </w:r>
          </w:p>
        </w:tc>
        <w:tc>
          <w:tcPr>
            <w:tcW w:type="dxa" w:w="197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 центра</w:t>
            </w: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3.21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Всероссийский урок «Победы»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Вклад ученых-естествоиспытателей в дело Победы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обучающиеся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май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Центра</w:t>
            </w:r>
          </w:p>
        </w:tc>
      </w:tr>
      <w:tr>
        <w:tc>
          <w:tcPr>
            <w:tcW w:type="dxa" w:w="78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3.22</w:t>
            </w:r>
          </w:p>
        </w:tc>
        <w:tc>
          <w:tcPr>
            <w:tcW w:type="dxa" w:w="366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Мастер- класс «День Победы»</w:t>
            </w:r>
          </w:p>
        </w:tc>
        <w:tc>
          <w:tcPr>
            <w:tcW w:type="dxa" w:w="472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ходе занятия учащиеся будут изготовлять </w:t>
            </w:r>
            <w:r>
              <w:rPr>
                <w:rFonts w:ascii="Times New Roman" w:hAnsi="Times New Roman"/>
                <w:color w:val="000000"/>
                <w:sz w:val="24"/>
              </w:rPr>
              <w:t>квилин</w:t>
            </w: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открытки</w:t>
            </w:r>
          </w:p>
        </w:tc>
        <w:tc>
          <w:tcPr>
            <w:tcW w:type="dxa" w:w="197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обучающиеся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2-4 классов</w:t>
            </w:r>
          </w:p>
        </w:tc>
        <w:tc>
          <w:tcPr>
            <w:tcW w:type="dxa" w:w="1546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май</w:t>
            </w:r>
          </w:p>
        </w:tc>
        <w:tc>
          <w:tcPr>
            <w:tcW w:type="dxa" w:w="197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 центра</w:t>
            </w:r>
          </w:p>
        </w:tc>
      </w:tr>
      <w:tr>
        <w:trPr>
          <w:trHeight w:hRule="atLeast" w:val="300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3.23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Круглый стол «Мои проекты»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Вовлечение учащихся в совместные проекты 1-9 классы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обучающиеся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май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Центра</w:t>
            </w:r>
          </w:p>
        </w:tc>
      </w:tr>
      <w:tr>
        <w:trPr>
          <w:trHeight w:hRule="atLeast" w:val="300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3"/>
              </w:rPr>
              <w:t>3.24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Площадка «Мир возможностей» на базе Центра образования «Точка роста»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Вовлечение учащихся в совместные проекты 1-9 классы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обучающиеся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Осенние, зимние, весенние каникулы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Центра</w:t>
            </w:r>
          </w:p>
        </w:tc>
      </w:tr>
      <w:tr>
        <w:trPr>
          <w:trHeight w:hRule="atLeast" w:val="300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3"/>
              </w:rPr>
              <w:t>3.25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3"/>
              </w:rPr>
              <w:t>Всероссийские акции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3"/>
              </w:rPr>
              <w:t>Единые тематические занятия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3"/>
              </w:rPr>
              <w:t>обучающиеся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3"/>
              </w:rPr>
              <w:t>В   течение учебного года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3"/>
              </w:rPr>
              <w:t>Педагоги  центра, обучающиеся</w:t>
            </w:r>
          </w:p>
        </w:tc>
      </w:tr>
      <w:tr>
        <w:tc>
          <w:tcPr>
            <w:tcW w:type="dxa" w:w="14683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pStyle w:val="Style_1"/>
              <w:widowControl w:val="0"/>
              <w:ind/>
              <w:jc w:val="center"/>
            </w:pPr>
            <w:r>
              <w:rPr>
                <w:rFonts w:ascii="Times New Roman" w:hAnsi="Times New Roman"/>
                <w:b w:val="1"/>
                <w:sz w:val="24"/>
              </w:rPr>
              <w:t>IV</w:t>
            </w:r>
            <w:r>
              <w:rPr>
                <w:rFonts w:ascii="Times New Roman" w:hAnsi="Times New Roman"/>
                <w:b w:val="1"/>
                <w:sz w:val="24"/>
              </w:rPr>
              <w:t>. Социокультурные мероприятия</w:t>
            </w:r>
          </w:p>
          <w:p w14:paraId="EA000000">
            <w:pPr>
              <w:pStyle w:val="Style_1"/>
              <w:widowControl w:val="0"/>
              <w:ind/>
              <w:jc w:val="center"/>
              <w:rPr>
                <w:rFonts w:ascii="Times New Roman" w:hAnsi="Times New Roman"/>
                <w:b w:val="1"/>
                <w:sz w:val="23"/>
              </w:rPr>
            </w:pP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4.1.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widowControl w:val="0"/>
              <w:tabs>
                <w:tab w:leader="none" w:pos="2232" w:val="left"/>
              </w:tabs>
              <w:spacing w:before="1"/>
              <w:ind w:firstLine="0" w:left="4" w:right="-15"/>
              <w:contextualSpacing w:val="1"/>
              <w:rPr>
                <w:rFonts w:ascii="Times New Roman" w:hAnsi="Times New Roman"/>
                <w:color w:val="1F1F1F"/>
              </w:rPr>
            </w:pPr>
            <w:r>
              <w:rPr>
                <w:rFonts w:ascii="Times New Roman" w:hAnsi="Times New Roman"/>
                <w:color w:val="1F1F1F"/>
              </w:rPr>
              <w:t>Родительские собрания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Знакомство с Центром </w:t>
            </w:r>
            <w:r>
              <w:rPr>
                <w:rFonts w:ascii="Times New Roman" w:hAnsi="Times New Roman"/>
                <w:sz w:val="23"/>
              </w:rPr>
              <w:t>«Точка роста»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родители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Сентябр</w:t>
            </w:r>
            <w:r>
              <w:rPr>
                <w:rFonts w:ascii="Times New Roman" w:hAnsi="Times New Roman"/>
                <w:sz w:val="23"/>
              </w:rPr>
              <w:t>ь-</w:t>
            </w:r>
            <w:r>
              <w:rPr>
                <w:rFonts w:ascii="Times New Roman" w:hAnsi="Times New Roman"/>
                <w:sz w:val="23"/>
              </w:rPr>
              <w:t xml:space="preserve"> октябрь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Руководитель центра</w:t>
            </w: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4.2.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widowControl w:val="0"/>
              <w:tabs>
                <w:tab w:leader="none" w:pos="2232" w:val="left"/>
              </w:tabs>
              <w:ind w:firstLine="0" w:left="4" w:right="-15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Презентация Центра </w:t>
            </w:r>
            <w:r>
              <w:rPr>
                <w:rFonts w:ascii="Times New Roman" w:hAnsi="Times New Roman"/>
              </w:rPr>
              <w:t>для</w:t>
            </w:r>
          </w:p>
          <w:p w14:paraId="F3000000">
            <w:pPr>
              <w:widowControl w:val="0"/>
              <w:tabs>
                <w:tab w:leader="none" w:pos="2232" w:val="left"/>
              </w:tabs>
              <w:ind w:firstLine="0" w:left="4" w:right="-15"/>
              <w:contextualSpacing w:val="1"/>
            </w:pPr>
            <w:r>
              <w:rPr>
                <w:rFonts w:ascii="Times New Roman" w:hAnsi="Times New Roman"/>
              </w:rPr>
              <w:t xml:space="preserve">образовательных организаций </w:t>
            </w:r>
            <w:r>
              <w:rPr>
                <w:rFonts w:ascii="Times New Roman" w:hAnsi="Times New Roman"/>
              </w:rPr>
              <w:t>и городских структур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Знакомство с Центром «Точка роста»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Обучающиеся школы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сентябрь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педагоги центра</w:t>
            </w: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4.3.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widowControl w:val="0"/>
              <w:spacing w:before="1"/>
              <w:ind w:right="342"/>
              <w:contextualSpacing w:val="1"/>
              <w:rPr>
                <w:rFonts w:ascii="Times New Roman" w:hAnsi="Times New Roman"/>
                <w:color w:val="1F1F1F"/>
              </w:rPr>
            </w:pPr>
            <w:r>
              <w:rPr>
                <w:rFonts w:ascii="Times New Roman" w:hAnsi="Times New Roman"/>
                <w:color w:val="1F1F1F"/>
              </w:rPr>
              <w:t xml:space="preserve">Участие в системе открытых </w:t>
            </w:r>
            <w:r>
              <w:rPr>
                <w:rFonts w:ascii="Times New Roman" w:hAnsi="Times New Roman"/>
                <w:color w:val="1F1F1F"/>
              </w:rPr>
              <w:t>онлай</w:t>
            </w:r>
            <w:r>
              <w:rPr>
                <w:rFonts w:ascii="Times New Roman" w:hAnsi="Times New Roman"/>
                <w:color w:val="1F1F1F"/>
              </w:rPr>
              <w:t>н-</w:t>
            </w:r>
            <w:r>
              <w:rPr>
                <w:rFonts w:ascii="Times New Roman" w:hAnsi="Times New Roman"/>
                <w:color w:val="1F1F1F"/>
              </w:rPr>
              <w:t xml:space="preserve"> уроков</w:t>
            </w:r>
          </w:p>
          <w:p w14:paraId="FA000000">
            <w:pPr>
              <w:widowControl w:val="0"/>
              <w:spacing w:before="1"/>
              <w:ind w:right="342"/>
              <w:contextualSpacing w:val="1"/>
              <w:rPr>
                <w:rFonts w:ascii="Times New Roman" w:hAnsi="Times New Roman"/>
                <w:color w:val="1F1F1F"/>
              </w:rPr>
            </w:pPr>
            <w:r>
              <w:rPr>
                <w:rFonts w:ascii="Times New Roman" w:hAnsi="Times New Roman"/>
                <w:color w:val="1F1F1F"/>
              </w:rPr>
              <w:t>«</w:t>
            </w:r>
            <w:r>
              <w:rPr>
                <w:rFonts w:ascii="Times New Roman" w:hAnsi="Times New Roman"/>
                <w:color w:val="1F1F1F"/>
              </w:rPr>
              <w:t>Проектория</w:t>
            </w:r>
            <w:r>
              <w:rPr>
                <w:rFonts w:ascii="Times New Roman" w:hAnsi="Times New Roman"/>
                <w:color w:val="1F1F1F"/>
              </w:rPr>
              <w:t>»</w:t>
            </w:r>
          </w:p>
          <w:p w14:paraId="FB000000">
            <w:pPr>
              <w:widowControl w:val="0"/>
              <w:spacing w:before="1"/>
              <w:ind w:firstLine="0" w:left="351" w:right="342"/>
              <w:contextualSpacing w:val="1"/>
              <w:rPr>
                <w:rFonts w:ascii="Times New Roman" w:hAnsi="Times New Roman"/>
                <w:color w:val="1F1F1F"/>
                <w:sz w:val="22"/>
              </w:rPr>
            </w:pP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 Знакомство с профессиями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7-9 классы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В течение учебного года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Педагог-организатор Центра</w:t>
            </w: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4.4.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pStyle w:val="Style_1"/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Флешмоб</w:t>
            </w:r>
            <w:r>
              <w:rPr>
                <w:rFonts w:ascii="Times New Roman" w:hAnsi="Times New Roman"/>
                <w:sz w:val="24"/>
              </w:rPr>
              <w:t xml:space="preserve"> «100% жизни»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Акция</w:t>
            </w:r>
            <w:r>
              <w:rPr>
                <w:rFonts w:ascii="Times New Roman" w:hAnsi="Times New Roman"/>
                <w:sz w:val="23"/>
              </w:rPr>
              <w:t xml:space="preserve"> направленная на популяризацию здорового образа жизни.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2-9 классы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декабрь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Педагог-организатор Педагоги доп.</w:t>
            </w:r>
            <w:r>
              <w:rPr>
                <w:rFonts w:ascii="Times New Roman" w:hAnsi="Times New Roman"/>
                <w:sz w:val="23"/>
              </w:rPr>
              <w:t xml:space="preserve"> образования</w:t>
            </w: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4.5.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widowControl w:val="0"/>
              <w:spacing w:before="1"/>
              <w:ind w:right="342"/>
              <w:contextualSpacing w:val="1"/>
              <w:rPr>
                <w:rFonts w:ascii="Times New Roman" w:hAnsi="Times New Roman"/>
                <w:color w:val="1F1F1F"/>
              </w:rPr>
            </w:pPr>
            <w:r>
              <w:rPr>
                <w:rFonts w:ascii="Times New Roman" w:hAnsi="Times New Roman"/>
                <w:color w:val="1F1F1F"/>
              </w:rPr>
              <w:t>Участие в проектах и</w:t>
            </w:r>
          </w:p>
          <w:p w14:paraId="08010000">
            <w:pPr>
              <w:widowControl w:val="0"/>
              <w:spacing w:before="1"/>
              <w:ind w:right="342"/>
              <w:contextualSpacing w:val="1"/>
              <w:rPr>
                <w:rFonts w:ascii="Times New Roman" w:hAnsi="Times New Roman"/>
                <w:color w:val="1F1F1F"/>
              </w:rPr>
            </w:pPr>
            <w:r>
              <w:rPr>
                <w:rFonts w:ascii="Times New Roman" w:hAnsi="Times New Roman"/>
                <w:color w:val="1F1F1F"/>
              </w:rPr>
              <w:t>акциях</w:t>
            </w:r>
            <w:r>
              <w:rPr>
                <w:rFonts w:ascii="Times New Roman" w:hAnsi="Times New Roman"/>
                <w:color w:val="1F1F1F"/>
              </w:rPr>
              <w:t xml:space="preserve"> Движение первых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widowControl w:val="0"/>
              <w:ind w:right="69"/>
              <w:contextualSpacing w:val="1"/>
            </w:pPr>
            <w:r>
              <w:t xml:space="preserve">Развитие обучающихся </w:t>
            </w:r>
            <w:r>
              <w:rPr>
                <w:rFonts w:ascii="Times New Roman" w:hAnsi="Times New Roman"/>
              </w:rPr>
              <w:t>на основе их интересов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2-9 классы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В течение учебного года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Педагогический коллектив центра </w:t>
            </w: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4.6.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pStyle w:val="Style_1"/>
              <w:widowControl w:val="0"/>
              <w:ind w:right="342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1F1F1F"/>
                <w:sz w:val="24"/>
              </w:rPr>
              <w:t>Проект «</w:t>
            </w:r>
            <w:r>
              <w:rPr>
                <w:rFonts w:ascii="Times New Roman" w:hAnsi="Times New Roman"/>
                <w:color w:val="1F1F1F"/>
                <w:sz w:val="24"/>
              </w:rPr>
              <w:t>Новогодняя</w:t>
            </w:r>
            <w:r>
              <w:rPr>
                <w:rFonts w:ascii="Times New Roman" w:hAnsi="Times New Roman"/>
                <w:color w:val="1F1F1F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1F1F1F"/>
                <w:sz w:val="24"/>
              </w:rPr>
              <w:t>фотозона»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Реализация творческого проекта по </w:t>
            </w:r>
            <w:r>
              <w:rPr>
                <w:rFonts w:ascii="Times New Roman" w:hAnsi="Times New Roman"/>
                <w:sz w:val="23"/>
              </w:rPr>
              <w:t xml:space="preserve">оформлению </w:t>
            </w:r>
            <w:r>
              <w:rPr>
                <w:rFonts w:ascii="Times New Roman" w:hAnsi="Times New Roman"/>
                <w:sz w:val="23"/>
              </w:rPr>
              <w:t>Новогодней</w:t>
            </w:r>
            <w:r>
              <w:rPr>
                <w:rFonts w:ascii="Times New Roman" w:hAnsi="Times New Roman"/>
                <w:sz w:val="23"/>
              </w:rPr>
              <w:t xml:space="preserve"> фотозоны.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Сотрудники </w:t>
            </w:r>
            <w:r>
              <w:rPr>
                <w:rFonts w:ascii="Times New Roman" w:hAnsi="Times New Roman"/>
                <w:sz w:val="23"/>
              </w:rPr>
              <w:t>Центра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декабрь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Сотрудники </w:t>
            </w:r>
            <w:r>
              <w:rPr>
                <w:rFonts w:ascii="Times New Roman" w:hAnsi="Times New Roman"/>
                <w:sz w:val="23"/>
              </w:rPr>
              <w:t>Центра</w:t>
            </w:r>
          </w:p>
        </w:tc>
      </w:tr>
      <w:tr>
        <w:tc>
          <w:tcPr>
            <w:tcW w:type="dxa" w:w="78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4.7</w:t>
            </w:r>
          </w:p>
        </w:tc>
        <w:tc>
          <w:tcPr>
            <w:tcW w:type="dxa" w:w="366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widowControl w:val="0"/>
              <w:spacing w:line="264" w:lineRule="auto"/>
              <w:ind w:firstLine="0" w:left="4"/>
              <w:contextualSpacing w:val="1"/>
            </w:pPr>
            <w:r>
              <w:rPr>
                <w:rFonts w:ascii="Times New Roman" w:hAnsi="Times New Roman"/>
              </w:rPr>
              <w:t>Проведение совместных мероприятий с обучающимися и педагогами школы</w:t>
            </w:r>
          </w:p>
        </w:tc>
        <w:tc>
          <w:tcPr>
            <w:tcW w:type="dxa" w:w="472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widowControl w:val="0"/>
              <w:spacing w:before="26"/>
              <w:ind w:right="58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открытых мероприятий</w:t>
            </w:r>
          </w:p>
        </w:tc>
        <w:tc>
          <w:tcPr>
            <w:tcW w:type="dxa" w:w="197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Обучающиеся, педагоги центра</w:t>
            </w:r>
          </w:p>
        </w:tc>
        <w:tc>
          <w:tcPr>
            <w:tcW w:type="dxa" w:w="1546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В течение учебного года</w:t>
            </w:r>
          </w:p>
        </w:tc>
        <w:tc>
          <w:tcPr>
            <w:tcW w:type="dxa" w:w="197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Сотрудники Центра</w:t>
            </w:r>
          </w:p>
        </w:tc>
      </w:tr>
      <w:tr>
        <w:tc>
          <w:tcPr>
            <w:tcW w:type="dxa" w:w="78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4.8</w:t>
            </w:r>
          </w:p>
        </w:tc>
        <w:tc>
          <w:tcPr>
            <w:tcW w:type="dxa" w:w="366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pStyle w:val="Style_1"/>
              <w:widowControl w:val="0"/>
              <w:spacing w:line="264" w:lineRule="auto"/>
              <w:ind w:firstLine="0" w:left="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Размещение информации в социальных сетях о реализации плана работы на базе Центра образования «Точка Роста»</w:t>
            </w:r>
          </w:p>
        </w:tc>
        <w:tc>
          <w:tcPr>
            <w:tcW w:type="dxa" w:w="472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мероприятиями и работой центра «Точка роста»</w:t>
            </w:r>
          </w:p>
        </w:tc>
        <w:tc>
          <w:tcPr>
            <w:tcW w:type="dxa" w:w="197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Родители, обучающиеся, педагоги центра</w:t>
            </w:r>
          </w:p>
        </w:tc>
        <w:tc>
          <w:tcPr>
            <w:tcW w:type="dxa" w:w="1546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В течение учебного года</w:t>
            </w:r>
          </w:p>
        </w:tc>
        <w:tc>
          <w:tcPr>
            <w:tcW w:type="dxa" w:w="197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Токтарова Т.И.</w:t>
            </w:r>
          </w:p>
        </w:tc>
      </w:tr>
      <w:tr>
        <w:tc>
          <w:tcPr>
            <w:tcW w:type="dxa" w:w="78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4.9</w:t>
            </w:r>
          </w:p>
        </w:tc>
        <w:tc>
          <w:tcPr>
            <w:tcW w:type="dxa" w:w="366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widowControl w:val="0"/>
              <w:spacing w:before="1"/>
              <w:ind w:right="342"/>
              <w:contextualSpacing w:val="1"/>
              <w:rPr>
                <w:rFonts w:ascii="Times New Roman" w:hAnsi="Times New Roman"/>
                <w:color w:val="1F1F1F"/>
              </w:rPr>
            </w:pPr>
            <w:r>
              <w:rPr>
                <w:rFonts w:ascii="Times New Roman" w:hAnsi="Times New Roman"/>
                <w:color w:val="1F1F1F"/>
              </w:rPr>
              <w:t>Площадка</w:t>
            </w:r>
          </w:p>
          <w:p w14:paraId="21010000">
            <w:pPr>
              <w:widowControl w:val="0"/>
              <w:spacing w:before="1"/>
              <w:ind w:right="342"/>
              <w:contextualSpacing w:val="1"/>
              <w:rPr>
                <w:rFonts w:ascii="Times New Roman" w:hAnsi="Times New Roman"/>
                <w:color w:val="1F1F1F"/>
              </w:rPr>
            </w:pPr>
            <w:r>
              <w:rPr>
                <w:rFonts w:ascii="Times New Roman" w:hAnsi="Times New Roman"/>
                <w:color w:val="1F1F1F"/>
              </w:rPr>
              <w:t>«Мир возможностей»</w:t>
            </w:r>
          </w:p>
        </w:tc>
        <w:tc>
          <w:tcPr>
            <w:tcW w:type="dxa" w:w="472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widowControl w:val="0"/>
              <w:spacing w:before="26"/>
              <w:ind w:right="58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Вовлечение </w:t>
            </w:r>
            <w:r>
              <w:rPr>
                <w:rFonts w:ascii="Times New Roman" w:hAnsi="Times New Roman"/>
              </w:rPr>
              <w:t>обучающихся</w:t>
            </w:r>
            <w:r>
              <w:rPr>
                <w:rFonts w:ascii="Times New Roman" w:hAnsi="Times New Roman"/>
              </w:rPr>
              <w:t xml:space="preserve"> в совместные</w:t>
            </w:r>
          </w:p>
          <w:p w14:paraId="23010000">
            <w:pPr>
              <w:widowControl w:val="0"/>
              <w:spacing w:before="26"/>
              <w:ind w:right="58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проекты</w:t>
            </w:r>
          </w:p>
        </w:tc>
        <w:tc>
          <w:tcPr>
            <w:tcW w:type="dxa" w:w="197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2-9 классы</w:t>
            </w:r>
          </w:p>
        </w:tc>
        <w:tc>
          <w:tcPr>
            <w:tcW w:type="dxa" w:w="1546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pStyle w:val="Style_1"/>
              <w:widowControl w:val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Осенние, зимние, весенние каникулы</w:t>
            </w:r>
          </w:p>
        </w:tc>
        <w:tc>
          <w:tcPr>
            <w:tcW w:type="dxa" w:w="197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Сотрудники Центра</w:t>
            </w:r>
          </w:p>
        </w:tc>
      </w:tr>
      <w:tr>
        <w:tc>
          <w:tcPr>
            <w:tcW w:type="dxa" w:w="14683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pStyle w:val="Style_1"/>
              <w:widowControl w:val="0"/>
              <w:ind/>
              <w:jc w:val="center"/>
            </w:pPr>
            <w:r>
              <w:rPr>
                <w:rFonts w:ascii="Times New Roman" w:hAnsi="Times New Roman"/>
                <w:b w:val="1"/>
                <w:sz w:val="24"/>
              </w:rPr>
              <w:t>V</w:t>
            </w:r>
            <w:r>
              <w:rPr>
                <w:rFonts w:ascii="Times New Roman" w:hAnsi="Times New Roman"/>
                <w:b w:val="1"/>
                <w:sz w:val="24"/>
              </w:rPr>
              <w:t>. Организация профориентации обучающихся</w:t>
            </w:r>
          </w:p>
          <w:p w14:paraId="28010000">
            <w:pPr>
              <w:pStyle w:val="Style_1"/>
              <w:widowControl w:val="0"/>
              <w:ind/>
              <w:jc w:val="center"/>
              <w:rPr>
                <w:rFonts w:ascii="Times New Roman" w:hAnsi="Times New Roman"/>
                <w:b w:val="1"/>
                <w:sz w:val="23"/>
              </w:rPr>
            </w:pP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5.1.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Участие во Всероссийской образовательной акции </w:t>
            </w:r>
            <w:r>
              <w:rPr>
                <w:rFonts w:ascii="Times New Roman" w:hAnsi="Times New Roman"/>
                <w:sz w:val="23"/>
              </w:rPr>
              <w:t>«</w:t>
            </w:r>
            <w:r>
              <w:rPr>
                <w:rFonts w:ascii="Times New Roman" w:hAnsi="Times New Roman"/>
                <w:sz w:val="23"/>
              </w:rPr>
              <w:t>ПроеКТОриЯ</w:t>
            </w:r>
            <w:r>
              <w:rPr>
                <w:rFonts w:ascii="Times New Roman" w:hAnsi="Times New Roman"/>
                <w:sz w:val="23"/>
              </w:rPr>
              <w:t>»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Знакомство с профессиями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Обучающиеся</w:t>
            </w:r>
          </w:p>
          <w:p w14:paraId="2D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7-9 классов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В течение учебного года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Руководитель и педагоги центра</w:t>
            </w: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5.2.</w:t>
            </w:r>
          </w:p>
        </w:tc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Всероссийский конкурс «Большая перемена»</w:t>
            </w:r>
          </w:p>
        </w:tc>
        <w:tc>
          <w:tcPr>
            <w:tcW w:type="dxa" w:w="4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Представление конкурсных работ</w:t>
            </w:r>
          </w:p>
        </w:tc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Обучающиеся</w:t>
            </w:r>
          </w:p>
          <w:p w14:paraId="34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 7-9 классов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В течение учебного года</w:t>
            </w:r>
          </w:p>
        </w:tc>
        <w:tc>
          <w:tcPr>
            <w:tcW w:type="dxa" w:w="1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pStyle w:val="Style_1"/>
              <w:widowControl w:val="0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Руководитель</w:t>
            </w:r>
            <w:r>
              <w:rPr>
                <w:rFonts w:ascii="Times New Roman" w:hAnsi="Times New Roman"/>
                <w:sz w:val="23"/>
              </w:rPr>
              <w:t xml:space="preserve"> и педагоги центра</w:t>
            </w:r>
          </w:p>
        </w:tc>
      </w:tr>
    </w:tbl>
    <w:p w14:paraId="37010000">
      <w:pPr>
        <w:ind/>
        <w:jc w:val="center"/>
        <w:rPr>
          <w:rFonts w:ascii="Times New Roman" w:hAnsi="Times New Roman"/>
          <w:b w:val="1"/>
        </w:rPr>
      </w:pPr>
    </w:p>
    <w:sectPr>
      <w:pgSz w:h="11906" w:orient="landscape" w:w="16838"/>
      <w:pgMar w:bottom="1134" w:footer="0" w:gutter="0" w:header="0" w:left="1134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9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Заголовок таблицы"/>
    <w:basedOn w:val="Style_10"/>
    <w:link w:val="Style_9_ch"/>
    <w:pPr>
      <w:ind/>
      <w:jc w:val="center"/>
    </w:pPr>
    <w:rPr>
      <w:b w:val="1"/>
    </w:rPr>
  </w:style>
  <w:style w:styleId="Style_9_ch" w:type="character">
    <w:name w:val="Заголовок таблицы"/>
    <w:basedOn w:val="Style_10_ch"/>
    <w:link w:val="Style_9"/>
    <w:rPr>
      <w:b w:val="1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Balloon Text"/>
    <w:basedOn w:val="Style_4"/>
    <w:link w:val="Style_12_ch"/>
    <w:rPr>
      <w:rFonts w:ascii="Tahoma" w:hAnsi="Tahoma"/>
      <w:sz w:val="16"/>
    </w:rPr>
  </w:style>
  <w:style w:styleId="Style_12_ch" w:type="character">
    <w:name w:val="Balloon Text"/>
    <w:basedOn w:val="Style_4_ch"/>
    <w:link w:val="Style_12"/>
    <w:rPr>
      <w:rFonts w:ascii="Tahoma" w:hAnsi="Tahoma"/>
      <w:sz w:val="16"/>
    </w:rPr>
  </w:style>
  <w:style w:styleId="Style_10" w:type="paragraph">
    <w:name w:val="Содержимое таблицы"/>
    <w:basedOn w:val="Style_4"/>
    <w:link w:val="Style_10_ch"/>
    <w:pPr>
      <w:widowControl w:val="0"/>
      <w:ind/>
    </w:pPr>
  </w:style>
  <w:style w:styleId="Style_10_ch" w:type="character">
    <w:name w:val="Содержимое таблицы"/>
    <w:basedOn w:val="Style_4_ch"/>
    <w:link w:val="Style_10"/>
  </w:style>
  <w:style w:styleId="Style_13" w:type="paragraph">
    <w:name w:val="caption"/>
    <w:basedOn w:val="Style_4"/>
    <w:link w:val="Style_13_ch"/>
    <w:pPr>
      <w:spacing w:after="120" w:before="120"/>
      <w:ind/>
    </w:pPr>
    <w:rPr>
      <w:i w:val="1"/>
    </w:rPr>
  </w:style>
  <w:style w:styleId="Style_13_ch" w:type="character">
    <w:name w:val="caption"/>
    <w:basedOn w:val="Style_4_ch"/>
    <w:link w:val="Style_13"/>
    <w:rPr>
      <w:i w:val="1"/>
    </w:rPr>
  </w:style>
  <w:style w:styleId="Style_14" w:type="paragraph">
    <w:name w:val="toc 3"/>
    <w:next w:val="Style_4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3" w:type="paragraph">
    <w:name w:val="Table Paragraph"/>
    <w:basedOn w:val="Style_4"/>
    <w:link w:val="Style_3_ch"/>
    <w:pPr>
      <w:ind w:firstLine="0" w:left="107"/>
      <w:jc w:val="both"/>
    </w:pPr>
  </w:style>
  <w:style w:styleId="Style_3_ch" w:type="character">
    <w:name w:val="Table Paragraph"/>
    <w:basedOn w:val="Style_4_ch"/>
    <w:link w:val="Style_3"/>
  </w:style>
  <w:style w:styleId="Style_1" w:type="paragraph">
    <w:name w:val="No Spacing"/>
    <w:link w:val="Style_1_ch"/>
    <w:rPr>
      <w:rFonts w:ascii="Calibri" w:hAnsi="Calibri"/>
      <w:sz w:val="22"/>
    </w:rPr>
  </w:style>
  <w:style w:styleId="Style_1_ch" w:type="character">
    <w:name w:val="No Spacing"/>
    <w:link w:val="Style_1"/>
    <w:rPr>
      <w:rFonts w:ascii="Calibri" w:hAnsi="Calibri"/>
      <w:sz w:val="22"/>
    </w:rPr>
  </w:style>
  <w:style w:styleId="Style_15" w:type="paragraph">
    <w:name w:val="heading 5"/>
    <w:next w:val="Style_4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Body Text"/>
    <w:basedOn w:val="Style_4"/>
    <w:link w:val="Style_16_ch"/>
    <w:pPr>
      <w:spacing w:after="140" w:line="276" w:lineRule="auto"/>
      <w:ind/>
    </w:pPr>
  </w:style>
  <w:style w:styleId="Style_16_ch" w:type="character">
    <w:name w:val="Body Text"/>
    <w:basedOn w:val="Style_4_ch"/>
    <w:link w:val="Style_16"/>
  </w:style>
  <w:style w:styleId="Style_17" w:type="paragraph">
    <w:name w:val="heading 1"/>
    <w:next w:val="Style_4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4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0"/>
    </w:rPr>
  </w:style>
  <w:style w:styleId="Style_21_ch" w:type="character">
    <w:name w:val="Header and Footer"/>
    <w:link w:val="Style_21"/>
    <w:rPr>
      <w:rFonts w:ascii="XO Thames" w:hAnsi="XO Thames"/>
      <w:sz w:val="20"/>
    </w:rPr>
  </w:style>
  <w:style w:styleId="Style_22" w:type="paragraph">
    <w:name w:val="index heading"/>
    <w:basedOn w:val="Style_4"/>
    <w:link w:val="Style_22_ch"/>
  </w:style>
  <w:style w:styleId="Style_22_ch" w:type="character">
    <w:name w:val="index heading"/>
    <w:basedOn w:val="Style_4_ch"/>
    <w:link w:val="Style_22"/>
  </w:style>
  <w:style w:styleId="Style_23" w:type="paragraph">
    <w:name w:val="toc 9"/>
    <w:next w:val="Style_4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4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4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List"/>
    <w:basedOn w:val="Style_16"/>
    <w:link w:val="Style_26_ch"/>
  </w:style>
  <w:style w:styleId="Style_26_ch" w:type="character">
    <w:name w:val="List"/>
    <w:basedOn w:val="Style_16_ch"/>
    <w:link w:val="Style_26"/>
  </w:style>
  <w:style w:styleId="Style_27" w:type="paragraph">
    <w:name w:val="Subtitle"/>
    <w:next w:val="Style_4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oc 10"/>
    <w:next w:val="Style_4"/>
    <w:link w:val="Style_2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8_ch" w:type="character">
    <w:name w:val="toc 10"/>
    <w:link w:val="Style_28"/>
    <w:rPr>
      <w:rFonts w:ascii="XO Thames" w:hAnsi="XO Thames"/>
      <w:sz w:val="28"/>
    </w:rPr>
  </w:style>
  <w:style w:styleId="Style_29" w:type="paragraph">
    <w:name w:val="Title"/>
    <w:next w:val="Style_4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4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4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32" w:type="paragraph">
    <w:name w:val="Default Paragraph Font"/>
    <w:link w:val="Style_32_ch"/>
  </w:style>
  <w:style w:styleId="Style_32_ch" w:type="character">
    <w:name w:val="Default Paragraph Font"/>
    <w:link w:val="Style_32"/>
  </w:style>
  <w:style w:styleId="Style_33" w:type="paragraph">
    <w:name w:val="Заголовок"/>
    <w:basedOn w:val="Style_4"/>
    <w:next w:val="Style_16"/>
    <w:link w:val="Style_33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33_ch" w:type="character">
    <w:name w:val="Заголовок"/>
    <w:basedOn w:val="Style_4_ch"/>
    <w:link w:val="Style_33"/>
    <w:rPr>
      <w:rFonts w:ascii="Liberation Sans" w:hAnsi="Liberation Sans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2024-09-10T07:21:11Z</dcterms:modified>
</cp:coreProperties>
</file>